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 w:before="240"/>
        <w:jc w:val="center"/>
      </w:pPr>
      <w:r>
        <w:rPr>
          <w:rFonts w:ascii="Times New Roman" w:cs="Times New Roman" w:eastAsia="SimSun" w:hAnsi="Times New Roman"/>
          <w:b/>
          <w:bCs/>
          <w:color w:val="1F2A33"/>
          <w:sz w:val="32"/>
          <w:szCs w:val="32"/>
        </w:rPr>
        <w:t xml:space="preserve">Правовое обоснование и инструкция заключения прямых контрактов с исполнителем, состоящим в реестре СОНКО, для бюджетных и государственных учреждений</w:t>
      </w:r>
    </w:p>
    <w:p>
      <w:pPr>
        <w:spacing w:after="120"/>
        <w:jc w:val="center"/>
      </w:pPr>
      <w:r>
        <w:rPr>
          <w:rFonts w:ascii="Times New Roman" w:cs="Times New Roman" w:eastAsia="SimSun" w:hAnsi="Times New Roman"/>
          <w:b w:val="false"/>
          <w:bCs w:val="false"/>
          <w:color w:val="37474F"/>
          <w:sz w:val="20"/>
          <w:szCs w:val="20"/>
        </w:rPr>
        <w:t xml:space="preserve">Приложение к коммерческому предложению · Исполнитель: АНО ДПО «УМИТЦ» (ИНН 3250075942, г. Брянск) · лицензия на образовательную деятельность №4212 · реестр организаций, оказывающих услуги в области охраны труда (Минтруд России, запись № 432) · реестр СОНКО Минэкономразвития России</w:t>
      </w:r>
    </w:p>
    <w:p>
      <w:pPr>
        <w:spacing w:after="320"/>
        <w:jc w:val="center"/>
      </w:pPr>
      <w:r>
        <w:rPr>
          <w:rFonts w:ascii="Times New Roman" w:cs="Times New Roman" w:eastAsia="SimSun" w:hAnsi="Times New Roman"/>
          <w:b w:val="false"/>
          <w:bCs w:val="false"/>
          <w:i/>
          <w:iCs/>
          <w:color w:val="78909C"/>
          <w:sz w:val="20"/>
          <w:szCs w:val="20"/>
        </w:rPr>
        <w:t xml:space="preserve">Документ подготовлен для контрактных служб и юридических отделов заказчиков по 44-ФЗ. Нормы приведены в редакциях, действующих на сентябрь 2026 года.</w:t>
      </w:r>
    </w:p>
    <w:p>
      <w:pPr>
        <w:spacing w:after="120" w:before="120"/>
      </w:pPr>
      <w:r>
        <w:rPr>
          <w:rFonts w:ascii="Times New Roman" w:cs="Times New Roman" w:eastAsia="SimSun" w:hAnsi="Times New Roman"/>
          <w:b/>
          <w:bCs/>
          <w:color w:val="1F2A33"/>
          <w:sz w:val="28"/>
          <w:szCs w:val="28"/>
        </w:rPr>
        <w:t xml:space="preserve">Содержание</w:t>
      </w:r>
    </w:p>
    <w:sdt xmlns:w="http://schemas.openxmlformats.org/wordprocessingml/2006/main">
      <w:sdtPr>
        <w:alias w:val="Содержание"/>
      </w:sdtPr>
      <w:sdtContent>
        <w:p>
          <w:r>
            <w:fldChar w:fldCharType="begin" w:dirty="true"/>
            <w:instrText xml:space="preserve"> TOC \o "1-3" \h \z \u </w:instrText>
            <w:fldChar w:fldCharType="separate"/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1. О чем этот документ: суть и выгоды для заказчика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2. Пошаговая инструкция для контрактной службы (7 шагов)</w:t>
          </w:r>
          <w:r>
            <w:tab/>
          </w:r>
          <w:r>
            <w:t>3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3. Готовые шаблоны документов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3.1. Служебная записка — обоснование закупки у единственного поставщика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3.2. Формулировки для контракта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3.3. Запрос коммерческого предложения</w:t>
          </w:r>
          <w:r>
            <w:tab/>
          </w:r>
          <w:r>
            <w:t>5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4. Правовое обоснование (для юридической службы)</w:t>
          </w:r>
          <w:r>
            <w:tab/>
          </w:r>
          <w:r>
            <w:t>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4.1. Основания прямой закупки: п. 4 и п. 5 ч. 1 ст. 93 44-ФЗ</w:t>
          </w:r>
          <w:r>
            <w:tab/>
          </w:r>
          <w:r>
            <w:t>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4.2. Статус СОНКО и квота 25% закупок у СМП/СОНКО (ст. 30 44-ФЗ)</w:t>
          </w:r>
          <w:r>
            <w:tab/>
          </w:r>
          <w:r>
            <w:t>6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4.3. Актуальные изменения законодательства (2025–2027)</w:t>
          </w:r>
          <w:r>
            <w:tab/>
          </w:r>
          <w:r>
            <w:t>7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5. Три ключевых риска и как они закрываются</w:t>
          </w:r>
          <w:r>
            <w:tab/>
          </w:r>
          <w:r>
            <w:t>7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6. Ответы на типовые вопросы</w:t>
          </w:r>
          <w:r>
            <w:tab/>
          </w:r>
          <w:r>
            <w:t>8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7. На что обратить внимание при оформлении</w:t>
          </w:r>
          <w:r>
            <w:tab/>
          </w:r>
          <w:r>
            <w:t>9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Приложение. Где проверить статусы исполнителя</w:t>
          </w:r>
          <w:r>
            <w:tab/>
          </w:r>
          <w:r>
            <w:t>9</w:t>
          </w:r>
        </w:p>
        <w:p>
          <w:r>
            <w:fldChar w:fldCharType="end"/>
          </w:r>
        </w:p>
      </w:sdtContent>
    </w:sdt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1. О чем этот документ: суть и выгоды для заказчика</w:t>
      </w:r>
    </w:p>
    <w:tbl>
      <w:tblPr>
        <w:tblW w:type="pct" w:w="100%"/>
        <w:tblBorders>
          <w:top w:val="single" w:color="C9D6DC" w:sz="6"/>
          <w:left w:val="single" w:color="C9D6DC" w:sz="6"/>
          <w:bottom w:val="single" w:color="C9D6DC" w:sz="6"/>
          <w:right w:val="single" w:color="C9D6DC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4EDF1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Коротко.</w:t>
            </w: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Ваше учреждение может заключить с АНО ДПО «УМИТЦ» прямой контракт на обучение до 600 000 руб. — без аукциона, конкурса и запроса котировок. Это законно и быстро (2–3 рабочих дня). А при потребности свыше 600 000 руб. статус СОНКО позволяет заказчику провести быструю закупку «только для СМП/СОНКО», которая засчитывается в обязательную годовую квоту 25%. Ниже — пошаговая инструкция и готовые тексты всех документов, которые остается только подставить в ваши формы.</w:t>
            </w:r>
          </w:p>
          <w:p>
            <w:pPr>
              <w:spacing w:after="4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Что такое СОНКО.</w:t>
            </w: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Социально ориентированная некоммерческая организация — это НКО, которая работает в социально значимых сферах (в том числе в образовании) и включена в специальный реестр Минэкономразвития России. АНО ДПО «УМИТЦ» состоит в этом реестре; статус проверяется онлайн по ИНН 3250075942 на сайте data.economy.gov.ru за одну минуту.</w:t>
            </w:r>
          </w:p>
          <w:p>
            <w:pPr>
              <w:spacing w:after="4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Почему это выгодно заказчику: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1) На сумму до 600 000 руб. контракт заключается напрямую (п. 4 и п. 5 ч. 1 ст. 93 44-ФЗ): без извещения, документации о закупке, комиссии, обеспечения и обязательного обоснования цены.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2) При потребности свыше 600 000 руб. заказчик проводит закупку «только для СМП/СОНКО» (в том числе электронный запрос котировок до 20 млн руб. с 01.10.2026 по 31.12.2027) — контракт с СОНКО засчитывается в обязательную квоту 25% закупок у СМП/СОНКО (ч. 1 ст. 30 44-ФЗ); с 01.01.2027 предельная НМЦК таких закупок — 30 млн руб.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3) Обучение по охране труда вправе проводить только организации из реестра организаций, оказывающих услуги в области охраны труда (Постановление Правительства РФ № 2464). Круг исполнителей закрыт законом — УМИТЦ включена в этот реестр (запись № 432).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4) Документы об обучении вносятся в государственные реестры (ФИС ФРДО/ЕИСОТ) за 1–3 дня — это собственное обязательство УМИТЦ (законный срок внесения сведений в ФИС ФРДО — 30 календарных дней): требования ГИТ и надзорных органов закрываются без задержек.</w:t>
            </w:r>
          </w:p>
          <w:p>
            <w:pPr>
              <w:spacing w:after="4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Как пользоваться документом:</w:t>
            </w: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раздел 2 — что сделать по шагам; раздел 3 — готовые тексты для копирования; разделы 4–6 — нормативное обоснование и ответы на вопросы для юриста.</w:t>
            </w:r>
          </w:p>
        </w:tc>
      </w:tr>
    </w:tbl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2. Пошаговая инструкция для контрактной службы (7 шагов)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1. Проверить статус СОНКО исполнителя.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Открыть реестр СОНКО Минэкономразвития России (data.economy.gov.ru/analytics/sonko), найти организацию по ИНН 3250075942, сохранить выписку (скриншот) в закупочное дело.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2. Проверить полномочия и благонадежность.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Лицензия на образовательную деятельность №4212 (реестр Рособрнадзора); включение в реестр организаций, оказывающих услуги в области охраны труда, запись № 432 (обязательно для обучения по охране труда); проверка по ст. 31 44-ФЗ: исполнитель не состоит в реестре недобросовестных поставщиков, не находится в процедуре банкротства, деятельность не приостановлена, нет недоимки по налогам свыше 25% балансовой стоимости активов.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3. Выбрать основание и проверить лимит.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П. 4 ч. 1 ст. 93 44-ФЗ — подходит любому заказчику; п. 5 ч. 1 ст. 93 — если заказчик является государственной/муниципальной образовательной организацией или иной организацией из перечня пункта (лимит выше). Оформить расчет совокупного годового объема закупок по выбранному пункту (см. раздел 5, риск 1).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4. Включить закупку в план-график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(рекомендуемый код ОКПД2 — 85.42.22 «Обучение профессиональное дополнительное»). Контракт заключается не ранее 1 календарного дня после размещения изменений в ЕИС.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5. Оформить документы по шаблонам раздела 3.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Служебная записка-обоснование (шаблон 3.1), контракт в письменной форме с формулировками 3.2. Обоснование цены законом не требуется, но расчет из 2–3 коммерческих предложений рекомендуется приложить к делу.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6. Направить сведения в реестр контрактов.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В течение 5 рабочих дней с даты заключения — через ЕИС, с отметкой о принадлежности исполнителя к СМП/СОНКО. С 01.07.2026 включение контрактов по п. 4 и п. 5 в реестр контрактов обязательно: контракт, сведения о котором не включены в реестр, не подлежит оплате (ч. 1, 8 ст. 103 44-ФЗ).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Шаг 7. Исполнение и годовой отчет.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Подписать документ о приемке; получить от исполнителя подтверждение внесения сведений в ФИС ФРДО/ЕИСОТ (УМИТЦ вносит за 1–3 дня — собственное обязательство; законный срок для ФИС ФРДО — 30 календарных дней); при формировании годового отчета об объеме закупок у СМП/СОНКО (размещается в ЕИС до 1 апреля) убедиться, что контракт отражен в сведениях о заключенных контрактах.</w:t>
      </w:r>
    </w:p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3. Готовые шаблоны документов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Тексты подготовлены для копирования в ваши формы. В квадратных скобках [ ... ] — данные, которые заполняет заказчик. Раздел самодостаточен: его можно переслать или распечатать отдельно.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3.1. Служебная записка — обоснование закупки у единственного поставщика (п. 4 / п. 5 ч. 1 ст. 93 44-ФЗ)</w:t>
      </w:r>
    </w:p>
    <w:tbl>
      <w:tblPr>
        <w:tblW w:type="pct" w:w="100%"/>
        <w:tblBorders>
          <w:top w:val="single" w:color="C9D6DC" w:sz="6"/>
          <w:left w:val="single" w:color="C9D6DC" w:sz="6"/>
          <w:bottom w:val="single" w:color="C9D6DC" w:sz="6"/>
          <w:right w:val="single" w:color="C9D6DC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СЛУЖЕБНАЯ ЗАПИСКА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об обосновании закупки у единственного поставщика (подрядчика, исполнителя)</w:t>
            </w:r>
          </w:p>
          <w:p>
            <w:pPr>
              <w:spacing w:after="4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В соответствии с п. [4/5]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предлагаю заключить контракт с единственным исполнителем — АНО ДПО «УМИТЦ» (ИНН 3250075942, г. Брянск) — на оказание услуг дополнительного профессионального образования по программе [наименование программы, объем в часах, форма: очная/дистанционная] для [количество] работников.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 Потребность и сроки. Обучение работников является обязательным в силу [ст. 214, 219 ТК РФ; Постановления Правительства РФ от 24.12.2021 № 2464 «О порядке обучения по охране труда и проверки знания требований охраны труда» — для программ по охране труда; иного отраслевого требования]. Срок прохождения обучения — не позднее [дата]. Проведение конкурентных процедур (срок — от 14 до 30 и более дней) не позволит соблюсти установленный срок обучения.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2. Основание закупки у единственного исполнителя. Цена контракта — [сумма] руб., что не превышает 600 000 руб. Совокупный годовой объем закупок заказчика по п. [4/5] ч. 1 ст. 93 44-ФЗ с учетом настоящего контракта составит [сумма] руб., что не превышает установленного ограничения [для п. 4: 2 000 000 руб. / 10% СГОЗ (не более 50 млн руб.); для п. 5: 5 000 000 руб. / 50% СГОЗ (не более 30 млн руб.)]. Расчет прилагается.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3. Обоснование выбора исполнителя. АНО ДПО «УМИТЦ»: является социально ориентированной некоммерческой организацией, включенной в реестр СОНКО Минэкономразвития России (проверено по ИНН 3250075942, выписка прилагается), — это позволяет заказчику при последующих закупках свыше 600 000 руб. применять ограничение «только для СМП/СОНКО» (п. 1 ч. 1, ч. 3 ст. 30 44-ФЗ) с зачетом в обязательный объем 25% СГОЗ; имеет лицензию на осуществление образовательной деятельности №4212 (проверено по реестру Рособрнадзора); включена в реестр организаций, оказывающих услуги в области охраны труда (запись № 432) — обучение требованиям охраны труда вправе осуществлять только такие организации (Постановление Правительства РФ № 2464); обеспечивает выдачу документов установленного образца с внесением сведений в ФИС ФРДО/ЕИСОТ в течение 1–3 дней; располагает учебным классом для очного обучения и ИТ-платформой «МодульКурс» для дистанционного обучения.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4. Проверка по ст. 31 44-ФЗ проведена: исполнитель не включен в реестр недобросовестных поставщиков, не находится в процедуре банкротства, не имеет недоимки по налогам свыше 25% балансовой стоимости активов, деятельность не приостановлена.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5. Цена контракта сформирована на основании коммерческого предложения исполнителя от [дата, №] и соответствует рыночному уровню [приложены: прайс-лист / предложения иных организаций].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Контракт заключается в письменной форме после включения закупки в план-график; сведения о контракте подлежат включению в реестр контрактов (без этого контракт не подлежит оплате — ч. 1, 8 ст. 103 44-ФЗ) с отметкой о принадлежности исполнителя к СМП/СОНКО.</w:t>
            </w:r>
          </w:p>
          <w:p>
            <w:pPr>
              <w:spacing w:after="4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Контрактный управляющий ____________ /____________/ «___» ________ 20___ г.</w:t>
            </w:r>
          </w:p>
        </w:tc>
      </w:tr>
    </w:tbl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3.2. Формулировки для контракта</w:t>
      </w:r>
    </w:p>
    <w:tbl>
      <w:tblPr>
        <w:tblW w:type="pct" w:w="100%"/>
        <w:tblBorders>
          <w:top w:val="single" w:color="C9D6DC" w:sz="6"/>
          <w:left w:val="single" w:color="C9D6DC" w:sz="6"/>
          <w:bottom w:val="single" w:color="C9D6DC" w:sz="6"/>
          <w:right w:val="single" w:color="C9D6DC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1.1. Настоящий контракт заключается на основании пункта [4/5] части 1 статьи 93 Федерального закона от 05.04.2013 № 44-ФЗ.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1.2. Предмет контракта: оказание услуг дополнительного профессионального образования по программе [наименование] (объем [N] часов, форма обучения — [очная / дистанционная с применением ИТ-платформы «МодульКурс»]) для [N] слушателей Заказчика. Код ОКПД2: 85.42.22.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1.3. Исполнитель гарантирует наличие на дату заключения и на весь срок исполнения контракта: статуса социально ориентированной некоммерческой организации (реестр СОНКО Минэкономразвития России); лицензии на осуществление образовательной деятельности №4212; включения в реестр организаций, оказывающих услуги в области охраны труда (запись № 432).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1.4. Срок оказания услуг: до «___» ________ 20___ г. Документы установленного образца выдаются слушателям с внесением сведений в ФИС ФРДО/ЕИСОТ в срок не более 3 (трех) рабочих дней с даты успешного завершения обучения.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1.5. Цена контракта составляет [сумма] руб. [НДС не облагается на основании ___ / в том числе НДС 22% — ___ руб.]. Цена является твердой и изменению в одностороннем порядке не подлежит.</w:t>
            </w:r>
          </w:p>
        </w:tc>
      </w:tr>
    </w:tbl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3.3. Запрос коммерческого предложения (письмо заказчика исполнителю)</w:t>
      </w:r>
    </w:p>
    <w:tbl>
      <w:tblPr>
        <w:tblW w:type="pct" w:w="100%"/>
        <w:tblBorders>
          <w:top w:val="single" w:color="C9D6DC" w:sz="6"/>
          <w:left w:val="single" w:color="C9D6DC" w:sz="6"/>
          <w:bottom w:val="single" w:color="C9D6DC" w:sz="6"/>
          <w:right w:val="single" w:color="C9D6DC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Уважаемые коллеги!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Просим предоставить коммерческое предложение на обучение [N] работников [наименование заказчика] по программе [наименование] (объем [N] часов, форма — очная/дистанционная) с указанием стоимости, сроков начала и окончания обучения.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Просим приложить подтверждающие документы: лицензию на осуществление образовательной деятельности; сведения о включении в реестр организаций, оказывающих услуги в области охраны труда (Минтруд России); выписку из реестра СОНКО Минэкономразвития России.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Предложение просим направить в срок до [дата] по адресу: [e-mail / почтовый адрес].</w:t>
            </w:r>
          </w:p>
          <w:p>
            <w:pPr>
              <w:spacing w:after="90" w:line="28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[Должность, подпись, контакты]</w:t>
            </w:r>
          </w:p>
        </w:tc>
      </w:tr>
    </w:tbl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4. Правовое обоснование (для юридической службы)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4.1. Основания прямой закупки: п. 4 и п. 5 ч. 1 ст. 93 44-ФЗ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Пункт 4 ч. 1 ст. 93 44-ФЗ дает любому заказчику право заключить контракт без конкурентных процедур на сумму, не превышающую 600 000 рублей. Совокупный годовой объем таких закупок не должен превышать 2 000 000 рублей ЛИБО 10% совокупного годового объема закупок (СГОЗ) заказчика и не более 50 000 000 рублей в год — заказчик вправе применять более выгодный вариант расчета. Для закупок в интересах сельских поселений ограничения не применяются; с 01.10.2026 (Федеральный закон от 04.08.2026 № 279-ФЗ) льгота расширена на закупки для непосредственного обеспечения жизнедеятельности населения сельских населенных пунктов.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Пункт 5 ч. 1 ст. 93 — специальное основание для государственных и муниципальных учреждений культуры (по перечню закона), государственных и муниципальных образовательных организаций, научных организаций, организаций для детей-сирот и физкультурно-спортивных организаций. Цена одного контракта — также до 600 000 рублей, годовой лимит выше: не более 5 000 000 рублей ЛИБО не более 50% СГОЗ и не более 30 000 000 рублей в год.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Закупки по ч. 12 ст. 93 (электронные «закупки с полки»: товары, включая ПО, — до 5 млн руб. на контракт и до 100 млн руб. в год) в годовые лимиты по п. 4 и п. 5 не включаются. Извещение о закупке не требуется (ч. 3 ст. 93); обоснование цены не требуется — п. 4 и п. 5 не входят в перечень ч. 4 ст. 93; обеспечение исполнения не требуется. Обязательны: письменная форма контракта (устная форма исключена с 01.01.2025), включение закупки в план-график (контракт заключается не ранее 1 календарного дня после размещения изменений в ЕИС), проверка исполнителя по ст. 31 44-ФЗ, направление сведений о контракте в реестр контрактов в течение 5 рабочих дней (ст. 103 44-ФЗ).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80"/>
        <w:gridCol w:w="3580"/>
      </w:tblGrid>
      <w:tr>
        <w:tc>
          <w:tcPr>
            <w:tcW w:type="dxa" w:w="220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358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П. 4 ч. 1 ст. 93 44-ФЗ</w:t>
            </w:r>
          </w:p>
        </w:tc>
        <w:tc>
          <w:tcPr>
            <w:tcW w:type="dxa" w:w="3580"/>
            <w:shd w:fill="EEF3F6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П. 5 ч. 1 ст. 93 44-ФЗ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Кто применяет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Все заказчики по 44-ФЗ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Государственные и муниципальные учреждения культуры (по перечню закона), государственные и муниципальные образовательные организации, научные организации, организации для детей-сирот, физкультурно-спортивные организации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Цена одного контракта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более 600 000 руб.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более 600 000 руб.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Совокупный годовой объем закупок по пункту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более 2 млн руб. ЛИБО не более 10% СГОЗ и не более 50 млн руб. в год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более 5 млн руб. ЛИБО не более 50% СГОЗ и не более 30 млн руб. в год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Извещение о закупке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 (ч. 3 ст. 93)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 (ч. 3 ст. 93)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Обоснование цены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 (ч. 4 ст. 93)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 (ч. 4 ст. 93)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Форма контракта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письменная (устная форма исключена с 01.01.2025)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письменная (устная форма исключена с 01.01.2025)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План-график / реестр контрактов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включить в план-график; сведения в реестр контрактов — в течение 5 рабочих дней (с 01.07.2026 обязательно, иначе оплата невозможна)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аналогично</w:t>
            </w:r>
          </w:p>
        </w:tc>
      </w:tr>
      <w:tr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/>
                <w:bCs/>
                <w:sz w:val="24"/>
                <w:szCs w:val="24"/>
              </w:rPr>
              <w:t xml:space="preserve">Обеспечение исполнения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358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40" w:line="29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4"/>
                <w:szCs w:val="24"/>
              </w:rPr>
              <w:t xml:space="preserve">не требуется</w:t>
            </w:r>
          </w:p>
        </w:tc>
      </w:tr>
    </w:tbl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4.2. Статус СОНКО и квота 25% закупок у СМП/СОНКО (ст. 30 44-ФЗ): как это работает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Заказчик по 44-ФЗ обязан ежегодно осуществлять закупки у субъектов малого предпринимательства (СМП) и социально ориентированных некоммерческих организаций (СОНКО) на сумму не менее 25% СГОЗ, рассчитанного с учетом положений ч. 1.1 ст. 30 (ч. 1 ст. 30). Действие ст. 30 распространяется на СОНКО (ч. 2 ст. 30), кроме СОНКО, учредителями которых являются Российская Федерация, субъекты РФ или муниципальные образования. За недобор квоты предусмотрена административная ответственность — ч. 11 ст. 7.30.1 КоАП РФ (штраф на должностное лицо от 40 000 до 60 000 руб.), см. раздел 5, риск 3.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Квота закрывается: (1) контрактами по итогам конкурентных закупок с ограничением «только для СМП/СОНКО» (НМЦК — до 20 млн руб., с 01.01.2027 — до 30 млн руб.); (2) контрактами, заключенными по п. 25 ч. 1 ст. 93 после несостоявшейся закупки «только для СМП/СОНКО»; (3) привлечением субподрядчиков из числа СМП/СОНКО (ч. 5, 6 ст. 30).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Важно понимать честно: прямой контракт по п. 4 или п. 5 ч. 1 ст. 93 — в том числе заключенный с СОНКО — в достигнутый объем квоты 25% не включается: закупки у единственного поставщика исключаются из базы расчета СГОЗ для квоты (п. 3 ч. 1.1 ст. 30; позиция 5 формы годового отчета, утв. Постановлением Правительства РФ от 17.03.2015 № 238). При этом в годовом отчете такой контракт отражается в сведениях о заключенных контрактах (ч. 4 ст. 30) — при проставлении отметки о принадлежности исполнителя к СМП/СОНКО в реестре контрактов.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Практическая связка для заказчика: потребность до 600 000 руб. — прямой контракт (быстро, без процедур); потребность свыше 600 000 руб. — конкурентная закупка с ограничением «только для СМП/СОНКО» (в том числе электронный запрос котировок до 20 млн руб. с 01.10.2026 по 31.12.2027 — ч. 87 ст. 112 44-ФЗ): контракт с УМИТЦ как с СОНКО засчитывается в квоту; если такая процедура не состоялась — контракт по п. 25 ч. 1 ст. 93, который также засчитывается в квоту (ч. 4 ст. 30).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Годовой отчет об объеме закупок у СМП/СОНКО размещается в ЕИС до 1 апреля года, следующего за отчетным (ч. 4 ст. 30); предварительное формирование отчета доступно в ЕИС в любой момент — рекомендуется сверять выполнение квоты ежеквартально. Если все закупки заказчика за год проводились у единственного поставщика, обязанность по квоте не возникает (база расчета равна нулю), однако «нулевой» отчет разместить обязательно.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4.3. Актуальные изменения законодательства (2025–2027)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С 01.01.2025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контракты по п. 4 и п. 5 ч. 1 ст. 93 заключаются только в письменной форме — устные сделки исключены.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С 01.07.2026 (Федеральный закон от 26.12.2024 № 484-ФЗ):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по п. 4, 5, 23, 42, 44, 46 ч. 1 ст. 93 заказчик вправе (а не обязан) заключать контракт в электронной форме — цифровой контракт в ЕИС; сведения о таких контрактах обязательно включаются в реестр контрактов, иначе контракт не подлежит оплате; до 01.02.2028 действует упрощенный порядок внесения. Закупки по ч. 12 ст. 93 изначально электронные (до 5 млн руб. на контракт, до 100 млн руб. в год) и в лимиты п. 4/5 не включаются.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Федеральный закон от 04.08.2026 № 279-ФЗ: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несколько контрактов с одним поставщиком в рамках цены и годового лимита прямо разрешены (ч. 15 ст. 93 — норма распространена и на ранее возникшие отношения); электронный запрос котировок допускается при НМЦК до 20 млн руб. (с 01.10.2026 по 31.12.2027); с 01.01.2027 предельная НМЦК закупок «только среди СМП/СОНКО» повышается с 20 до 30 млн руб.; с 01.10.2026 льгота п. 4 ст. 93 расширена на закупки для жизнедеятельности сельских населенных пунктов.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С 31.08.2026 (Постановление Правительства РФ от 30.06.2026 № 805):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Правила обучения по охране труда № 2464 продлены до 01.09.2032 и уточнены (практические занятия — только очно, оформление протоколов).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С 01.01.2026 ставка НДС составляет 22%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(Федеральный закон от 28.11.2025 № 425-ФЗ). Налоговый статус цены (без НДС / в т.ч. НДС 22%) целесообразно прямо фиксировать в контракте во избежание споров при оплате.</w:t>
      </w:r>
    </w:p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5. Три ключевых риска и как они закрываются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Риск 1. Превышение совокупного годового объема закупок (лимиты п. 4 / п. 5)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Последствия.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Контракт, заключенный сверх годового лимита, квалифицируется как заключенный с единственным поставщиком в случае, не предусмотренном законодательством о контрактной системе: ч. 4 ст. 7.30.1 КоАП РФ — штраф на должностное лицо от 30 000 до 50 000 руб.; дополнительно — предписание контрольного органа и риск оспаривания контракта. (Применявшаяся ранее ч. 7 ст. 7.32 КоАП РФ утратила силу с 01.03.2025.)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Как закрывается.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Перед заключением каждого контракта оформляется справка-расчет: сумма всех контрактов, заключенных по соответствующему пункту с начала года, плюс цена нового контракта не должна превышать лимит. Расчет хранится в закупочном деле. Готовая формулировка включена в шаблон служебной записки (раздел 3.1). Лимиты по п. 4 и п. 5 считаются раздельно.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Риск 2. «Дробление» закупки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Последствия.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С 2026 года ч. 15 ст. 93 прямо разрешает несколько контрактов с одним поставщиком в рамках цены и годового лимита (279-ФЗ распространил норму и на ранее возникшие отношения). Однако если единая потребность искусственно разбита для обхода конкурентной процедуры, возможна квалификация как выбор способа закупки с нарушением закона (ч. 4 ст. 7.30.1 КоАП РФ — 30 000–50 000 руб.), предписание и оспаривание контрактов.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Как закрывается.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Предметы контрактов разграничиваются объективно: разные программы и направления обучения (охрана труда, пожарная безопасность, работы на высоте, ДОПОГ, ГО/ЧС), разные группы работников, разные структурные подразделения-инициаторы, разные периоды обучения. В служебной записке по каждому контракту фиксируется самостоятельная потребность. При потребности свыше 600 тыс. руб. корректное решение — конкурентная закупка с ограничением «только для СМП/СОНКО» (п. 1 ч. 1 ст. 30, НМЦК до 20 млн руб., с 01.01.2027 — 30 млн руб.) — она же засчитывается в квоту.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Риск 3. Невыполнение годовой квоты закупок у СМП/СОНКО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Последствия.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Несоблюдение обязательного объема закупок у СМП/СОНКО (не менее 25% СГОЗ, ч. 1 ст. 30 44-ФЗ) — ч. 11 ст. 7.30.1 КоАП РФ: штраф на должностное лицо от 40 000 до 60 000 руб. Неразмещение годового отчета или нарушение требований к нему — самостоятельное нарушение: ч. 5 ст. 7.30.1 КоАП РФ (предупреждение или штраф 3 000–10 000 руб.).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Как закрывается.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(1) Планировать закупки «только для СМП/СОНКО» в течение года — по обучению такой закупкой может быть процедура с участием УМИТЦ; (2) контракты с СОНКО (включая прямые) регистрировать в реестре контрактов с отметкой СМП/СОНКО — они отразятся в отчете; (3) ежеквартально формировать в ЕИС предварительный отчет и сверять процент; (4) до 1 апреля разместить годовой отчет.</w:t>
      </w:r>
    </w:p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6. Ответы на типовые вопросы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«Почему заказчику выгодно заключить контракт именно с СОНКО?»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Процедура прямого контракта занимает 2–3 рабочих дня вместо 14–30: не требуются извещение, документация о закупке, комиссия и обеспечение. При этом статус СОНКО дает заказчику второй инструмент: закупки «только для СМП/СОНКО» с участием УМИТЦ засчитываются в обязательную квоту 25% — это самый быстрый легальный способ закрыть квоту на обучение. По охране труда круг исполнителей закрыт законом: обучение вправе вести только организации из реестра Минтруда России (Постановление Правительства РФ № 2464) — УМИТЦ включена в этот реестр (запись № 432). Документы установленного образца вносятся в ФИС ФРДО/ЕИСОТ за 1–3 дня (собственное обязательство УМИТЦ; законный срок для ФИС ФРДО — 30 календарных дней), что исключает претензии ГИТ и надзорных органов. Дополнительно учреждение получает подтверждаемый социально значимый результат — поддержку СОНКО, предусмотренную государственной политикой.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«Гарантировано ли, что заказчика не оштрафуют за выбор единственного поставщика?»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Закупка по п. 4/5 ч. 1 ст. 93 — прямое право заказчика, закрепленное законом; согласования и уведомления контрольных органов для этих пунктов не предусмотрены (уведомления требуются только по п. 6, 6.1, 9, 34, 50 ч. 1 ст. 93). Штрафы возможны лишь за превышение годового лимита (ч. 4 ст. 7.30.1 КоАП РФ) и нарушение порядка оформления — оба риска закрываются документально: расчет лимита в служебной записке, письменный контракт, своевременное включение сведений в реестр контрактов (пропуск реестра контрактов — такой контракт не подлежит оплате). Комплект шаблонов в разделе 3 сформирован так, чтобы проверяющий орган увидел полностью закрытый пакет документов.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«Что конкретно нужно сделать контрактной службе?»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Пять действий: (1) проверить статус СОНКО исполнителя по реестру Минэкономразвития; (2) включить закупку в план-график; (3) оформить служебную записку по шаблону 3.1 (заполняются только суммы и реквизиты); (4) подписать контракт в письменной форме; (5) в течение 5 рабочих дней включить сведения в реестр контрактов с отметкой СМП/СОНКО (без включения контракт не подлежит оплате). Совокупный срок — 2–3 рабочих дня.</w:t>
      </w:r>
    </w:p>
    <w:p>
      <w:pPr>
        <w:pStyle w:val="Heading2"/>
        <w:spacing w:after="120" w:before="260"/>
      </w:pPr>
      <w:r>
        <w:rPr>
          <w:rFonts w:ascii="Times New Roman" w:cs="Times New Roman" w:eastAsia="SimSun" w:hAnsi="Times New Roman"/>
          <w:b/>
          <w:bCs/>
          <w:color w:val="37474F"/>
          <w:sz w:val="26"/>
          <w:szCs w:val="26"/>
        </w:rPr>
        <w:t xml:space="preserve">«У нас внутреннее положение требует три коммерческих предложения / согласование с учредителем — мы не можем просто так заключить прямой контракт»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Это нормально, и это не отменяет прямую закупку. П. 4 и п. 5 ч. 1 ст. 93 44-ФЗ — право заказчика, а внутреннее положение о закупках или требование учредителя — добровольное самоограничение, которое заказчик вправе установить строже закона. Мы работаем и по такому сценарию.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Три КП собираются за один день.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Запросите наше коммерческое предложение по шаблону 3.3 — мы отвечаем в течение рабочего дня. Параллельно контрактная служба запрашивает еще 1–2 предложения у иных организаций из реестра Минтруда. Все три КП прикладываются к служебной записке (шаблон 3.1, п. 5) — внутреннее требование формально закрыто.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Наша цена — прозрачная и рыночная.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Открытый прайс-лист на 66 очных и 203 дистанционных программы прикладывается к делу: у проверяющего не возникает вопроса, почему выбран этот исполнитель по такой цене.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Выбор УМИТЦ объективно обоснован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даже при сборе трех КП: мы единственные в сравнении одновременно состоим в реестре СОНКО (закрываем вашу квоту при последующих закупках), в реестре организаций, оказывающих услуги в области охраны труда (запись № 432), и вносим документы в ФИС ФРДО за 1–3 дня. Это не «симпатия к поставщику», а документированные критерии выбора — их достаточно для любого внутреннего аудита и для согласования с учредителем.</w:t>
      </w:r>
    </w:p>
    <w:p>
      <w:pPr>
        <w:spacing w:after="140" w:line="290"/>
        <w:ind w:firstLine="431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Итог: вы соблюдаете и 44-ФЗ, и свое внутреннее положение — а срок остается теми же 2–3 рабочими днями.</w:t>
      </w:r>
    </w:p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7. На что обратить внимание при оформлении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Письменная форма обязательна.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С 01.01.2025 контракты по п. 4 и п. 5 в устной форме недопустимы — оформление «по счету» без контракта является нарушением.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Реестр контрактов.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Контракты по п. 4 и п. 5 включаются в реестр контрактов (срок — 5 рабочих дней) независимо от суммы; пропуск является нарушением ст. 103 44-ФЗ, а с 01.07.2026 такой контракт не подлежит оплате (ч. 1, 8 ст. 103).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Проверка по ст. 31 44-ФЗ обязательна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для контракта любой суммы; результаты фиксируются в закупочном деле.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Отметка о принадлежности исполнителя к СМП/СОНКО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в реестре контрактов обязательна для корректного годового отчета: контракт с СОНКО отразится в сведениях о заключенных контрактах (ч. 4 ст. 30). В достигнутый объем квоты 25% прямые контракты не входят — квота закрывается закупками «только для СМП/СОНКО» (см. раздел 4.2).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Охрана труда — закрытый перечень исполнителей.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Обучение требованиям охраны труда вправе проводить только организации из реестра Минтруда России (Постановление Правительства РФ от 24.12.2021 № 2464, действует в редакции Постановления Правительства РФ № 805 до 01.09.2032); наличие исполнителя в реестре — объективное основание выбора.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Корректные основания — только п. 4 и п. 5 ч. 1 ст. 93.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Положения п. 26 (командировки) и п. 33 (преподавательские услуги физических лиц) к контракту с организацией неприменимы.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НДС.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С 01.01.2026 ставка НДС — 22% (Федеральный закон от 28.11.2025 № 425-ФЗ); налоговый статус цены фиксируется в контракте прямо (п. 1.5 шаблона 3.2).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Обеспечение исполнения не требуется;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условия об авансе и порядке оплаты определяются контрактом.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/>
          <w:bCs/>
          <w:sz w:val="24"/>
          <w:szCs w:val="24"/>
        </w:rPr>
        <w:t xml:space="preserve">ЕАТ для федеральных учреждений.</w:t>
      </w: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 Федеральные органы власти и подведомственные им бюджетные учреждения проводят малые закупки по п. 4, 5, 28 ч. 1 ст. 93 через единый агрегатор торговли (распоряжение Правительства РФ от 28.04.2018 № 824-р) — для них порядок оформления отличается.</w:t>
      </w:r>
    </w:p>
    <w:p>
      <w:pPr>
        <w:pStyle w:val="Heading1"/>
        <w:spacing w:after="160" w:before="320"/>
      </w:pPr>
      <w:r>
        <w:rPr>
          <w:rFonts w:ascii="Times New Roman" w:cs="Times New Roman" w:eastAsia="SimSun" w:hAnsi="Times New Roman"/>
          <w:b/>
          <w:bCs/>
          <w:color w:val="1F2A33"/>
          <w:sz w:val="30"/>
          <w:szCs w:val="30"/>
        </w:rPr>
        <w:t xml:space="preserve">Приложение. Где проверить статусы исполнителя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Реестр СОНКО Минэкономразвития России: https://data.economy.gov.ru/analytics/sonko/all (поиск по ИНН 3250075942).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Реестр лицензий на образовательную деятельность Рособрнадзора: https://islod.obrnadzor.gov.ru.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Реестр организаций, оказывающих услуги в области охраны труда (Минтруд России): https://mintrud.gov.ru (проверка записи № 432); портал ЕИСОТ: https://akot.rosmintrud.ru.</w:t>
      </w:r>
    </w:p>
    <w:p>
      <w:pPr>
        <w:pStyle w:val="ListParagraph"/>
        <w:numPr>
          <w:ilvl w:val="0"/>
          <w:numId w:val="1"/>
        </w:numPr>
        <w:spacing w:after="100" w:line="290"/>
      </w:pPr>
      <w:r>
        <w:rPr>
          <w:rFonts w:ascii="Times New Roman" w:cs="Times New Roman" w:eastAsia="SimSun" w:hAnsi="Times New Roman"/>
          <w:b w:val="false"/>
          <w:bCs w:val="false"/>
          <w:sz w:val="24"/>
          <w:szCs w:val="24"/>
        </w:rPr>
        <w:t xml:space="preserve">Реестр недобросовестных поставщиков и сведения о контрактах: https://zakupki.gov.ru; проверка контрагента: https://egrul.nalog.ru.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40" w:line="290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40" w:line="290"/>
      <w:jc w:val="center"/>
    </w:pPr>
    <w:r>
      <w:rPr>
        <w:rFonts w:ascii="Times New Roman" w:cs="Times New Roman" w:eastAsia="SimSun" w:hAnsi="Times New Roman"/>
        <w:b/>
        <w:bCs/>
        <w:color w:val="37474F"/>
        <w:sz w:val="18"/>
        <w:szCs w:val="18"/>
      </w:rPr>
      <w:t xml:space="preserve">Прямая закупка у СОНКО · Приложение к КП АНО ДПО «УМИТЦ»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2026-09-07T21:00:48.422Z</dcterms:created>
  <dcterms:modified xsi:type="dcterms:W3CDTF">2026-09-07T21:00:48.424Z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